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384" w:rsidRDefault="00A40384" w:rsidP="00A403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 Regional Conferences: 2020-2021</w:t>
      </w:r>
    </w:p>
    <w:p w:rsidR="00A40384" w:rsidRDefault="00A40384" w:rsidP="00A403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Medical </w:t>
      </w:r>
      <w:r>
        <w:rPr>
          <w:rFonts w:ascii="Arial" w:hAnsi="Arial" w:cs="Arial"/>
        </w:rPr>
        <w:t>Spelling</w:t>
      </w:r>
      <w:r>
        <w:rPr>
          <w:rFonts w:ascii="Arial" w:hAnsi="Arial" w:cs="Arial"/>
        </w:rPr>
        <w:t xml:space="preserve"> Scenario</w:t>
      </w:r>
    </w:p>
    <w:p w:rsidR="00AC398D" w:rsidRPr="00A40384" w:rsidRDefault="00A40384" w:rsidP="00A403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KEY</w:t>
      </w:r>
    </w:p>
    <w:p w:rsidR="00AC398D" w:rsidRDefault="00AC398D" w:rsidP="00D346D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B3A"/>
          <w:sz w:val="27"/>
          <w:szCs w:val="27"/>
        </w:rPr>
      </w:pPr>
      <w:r>
        <w:rPr>
          <w:rFonts w:ascii="Arial" w:hAnsi="Arial" w:cs="Arial"/>
          <w:color w:val="000B3A"/>
          <w:sz w:val="27"/>
          <w:szCs w:val="27"/>
        </w:rPr>
        <w:t xml:space="preserve">Retype the following case study and correct the misspellings.  </w:t>
      </w:r>
    </w:p>
    <w:p w:rsidR="00D346D6" w:rsidRPr="00A40384" w:rsidRDefault="00D346D6" w:rsidP="00D346D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B3A"/>
          <w:sz w:val="27"/>
          <w:szCs w:val="27"/>
        </w:rPr>
      </w:pPr>
      <w:r>
        <w:rPr>
          <w:rFonts w:ascii="Arial" w:hAnsi="Arial" w:cs="Arial"/>
          <w:color w:val="000B3A"/>
          <w:sz w:val="27"/>
          <w:szCs w:val="27"/>
        </w:rPr>
        <w:t xml:space="preserve">A 70-year-old woman presents to the HOSA primary care clinic reporting increasing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1</w:t>
      </w:r>
      <w:r w:rsidRPr="00A40384">
        <w:rPr>
          <w:rFonts w:ascii="Arial" w:hAnsi="Arial" w:cs="Arial"/>
          <w:color w:val="000B3A"/>
          <w:sz w:val="27"/>
          <w:szCs w:val="27"/>
        </w:rPr>
        <w:t>fati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q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ue over the past 6 months that is more severe in the evenings. Along with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fati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q</w:t>
      </w:r>
      <w:r w:rsidRPr="00A40384">
        <w:rPr>
          <w:rFonts w:ascii="Arial" w:hAnsi="Arial" w:cs="Arial"/>
          <w:color w:val="000B3A"/>
          <w:sz w:val="27"/>
          <w:szCs w:val="27"/>
        </w:rPr>
        <w:t>ue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, the patient reports fluctuating bilateral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2</w:t>
      </w:r>
      <w:r w:rsidRPr="00A40384">
        <w:rPr>
          <w:rFonts w:ascii="Arial" w:hAnsi="Arial" w:cs="Arial"/>
          <w:color w:val="000B3A"/>
          <w:sz w:val="27"/>
          <w:szCs w:val="27"/>
        </w:rPr>
        <w:t>p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tosis with vertical binocular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3</w:t>
      </w:r>
      <w:r w:rsidRPr="00A40384">
        <w:rPr>
          <w:rFonts w:ascii="Arial" w:hAnsi="Arial" w:cs="Arial"/>
          <w:color w:val="000B3A"/>
          <w:sz w:val="27"/>
          <w:szCs w:val="27"/>
        </w:rPr>
        <w:t>di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a</w:t>
      </w:r>
      <w:r w:rsidRPr="00A40384">
        <w:rPr>
          <w:rFonts w:ascii="Arial" w:hAnsi="Arial" w:cs="Arial"/>
          <w:color w:val="000B3A"/>
          <w:sz w:val="27"/>
          <w:szCs w:val="27"/>
        </w:rPr>
        <w:t>plopia that began 4 months before the visit.</w:t>
      </w:r>
    </w:p>
    <w:p w:rsidR="00D346D6" w:rsidRPr="00A40384" w:rsidRDefault="00D346D6" w:rsidP="00D346D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B3A"/>
          <w:sz w:val="27"/>
          <w:szCs w:val="27"/>
        </w:rPr>
      </w:pPr>
      <w:r w:rsidRPr="00A40384">
        <w:rPr>
          <w:rFonts w:ascii="Arial" w:hAnsi="Arial" w:cs="Arial"/>
          <w:color w:val="000B3A"/>
          <w:sz w:val="27"/>
          <w:szCs w:val="27"/>
        </w:rPr>
        <w:t xml:space="preserve">Episodes of bilateral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p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>tosis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 and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4</w:t>
      </w:r>
      <w:r w:rsidRPr="00A40384">
        <w:rPr>
          <w:rFonts w:ascii="Arial" w:hAnsi="Arial" w:cs="Arial"/>
          <w:color w:val="000B3A"/>
          <w:sz w:val="27"/>
          <w:szCs w:val="27"/>
        </w:rPr>
        <w:t>bi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n</w:t>
      </w:r>
      <w:r w:rsidRPr="00A40384">
        <w:rPr>
          <w:rFonts w:ascii="Arial" w:hAnsi="Arial" w:cs="Arial"/>
          <w:color w:val="000B3A"/>
          <w:sz w:val="27"/>
          <w:szCs w:val="27"/>
        </w:rPr>
        <w:t>ocula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e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di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a</w:t>
      </w:r>
      <w:r w:rsidRPr="00A40384">
        <w:rPr>
          <w:rFonts w:ascii="Arial" w:hAnsi="Arial" w:cs="Arial"/>
          <w:color w:val="000B3A"/>
          <w:sz w:val="27"/>
          <w:szCs w:val="27"/>
        </w:rPr>
        <w:t>plopia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 lasting 1 to 4 weeks alternate with symptom-free intervals of 3 to 4 weeks.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P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>tosis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 is asymmetric and more severe in the left eye. The patient denies muscle weakness (other than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5</w:t>
      </w:r>
      <w:r w:rsidRPr="00A40384">
        <w:rPr>
          <w:rFonts w:ascii="Arial" w:hAnsi="Arial" w:cs="Arial"/>
          <w:color w:val="000B3A"/>
          <w:sz w:val="27"/>
          <w:szCs w:val="27"/>
        </w:rPr>
        <w:t>oc</w:t>
      </w:r>
      <w:r w:rsidR="00BF0EB4" w:rsidRPr="00A40384">
        <w:rPr>
          <w:rFonts w:ascii="Arial" w:hAnsi="Arial" w:cs="Arial"/>
          <w:color w:val="000B3A"/>
          <w:sz w:val="27"/>
          <w:szCs w:val="27"/>
        </w:rPr>
        <w:t>c</w:t>
      </w:r>
      <w:r w:rsidRPr="00A40384">
        <w:rPr>
          <w:rFonts w:ascii="Arial" w:hAnsi="Arial" w:cs="Arial"/>
          <w:color w:val="000B3A"/>
          <w:sz w:val="27"/>
          <w:szCs w:val="27"/>
        </w:rPr>
        <w:t>ular weakness), weight loss, </w:t>
      </w:r>
      <w:hyperlink r:id="rId4" w:history="1">
        <w:r w:rsidRPr="00A40384">
          <w:rPr>
            <w:rStyle w:val="Hyperlink"/>
            <w:rFonts w:ascii="Arial" w:hAnsi="Arial" w:cs="Arial"/>
            <w:color w:val="333333"/>
            <w:sz w:val="27"/>
            <w:szCs w:val="27"/>
          </w:rPr>
          <w:t>fevers</w:t>
        </w:r>
      </w:hyperlink>
      <w:r w:rsidRPr="00A40384">
        <w:rPr>
          <w:rFonts w:ascii="Arial" w:hAnsi="Arial" w:cs="Arial"/>
          <w:color w:val="000B3A"/>
          <w:sz w:val="27"/>
          <w:szCs w:val="27"/>
        </w:rPr>
        <w:t xml:space="preserve">, vision loss,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6</w:t>
      </w:r>
      <w:r w:rsidRPr="00A40384">
        <w:rPr>
          <w:rFonts w:ascii="Arial" w:hAnsi="Arial" w:cs="Arial"/>
          <w:color w:val="000B3A"/>
          <w:sz w:val="27"/>
          <w:szCs w:val="27"/>
        </w:rPr>
        <w:t>d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>sarthria, headaches, dyspnea, dysphagia, dizziness, and gait disturbances. Her medical history includes macular degeneration, managed with antioxidants and zinc, and hypertension, controlled with metoprolol and losartan. She denies drug allergies and alcohol or drug use.</w:t>
      </w:r>
    </w:p>
    <w:p w:rsidR="00D346D6" w:rsidRPr="00A40384" w:rsidRDefault="00D346D6" w:rsidP="00D346D6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B3A"/>
          <w:sz w:val="27"/>
          <w:szCs w:val="27"/>
        </w:rPr>
      </w:pPr>
      <w:r w:rsidRPr="00A40384">
        <w:rPr>
          <w:rFonts w:ascii="Arial" w:hAnsi="Arial" w:cs="Arial"/>
          <w:color w:val="000B3A"/>
          <w:sz w:val="27"/>
          <w:szCs w:val="27"/>
        </w:rPr>
        <w:t xml:space="preserve">On physical examination, the patient’s vital signs are within normal limits. Extraocular movements show bilateral superior and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7</w:t>
      </w:r>
      <w:r w:rsidRPr="00A40384">
        <w:rPr>
          <w:rFonts w:ascii="Arial" w:hAnsi="Arial" w:cs="Arial"/>
          <w:color w:val="000B3A"/>
          <w:sz w:val="27"/>
          <w:szCs w:val="27"/>
        </w:rPr>
        <w:t>medi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u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l rectus weakness. A sustained upward gaze increases the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p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>tosis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 bilaterally. Pupils appear equal and reactive to light. Neurologic exam, evaluating cranial nerves, sensation, and reflexes, shows no abnormalities.</w:t>
      </w:r>
    </w:p>
    <w:p w:rsidR="00BF0EB4" w:rsidRPr="00A40384" w:rsidRDefault="00D346D6" w:rsidP="00AC398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B3A"/>
          <w:sz w:val="27"/>
          <w:szCs w:val="27"/>
        </w:rPr>
      </w:pPr>
      <w:r w:rsidRPr="00A40384">
        <w:rPr>
          <w:rFonts w:ascii="Arial" w:hAnsi="Arial" w:cs="Arial"/>
          <w:color w:val="000B3A"/>
          <w:sz w:val="27"/>
          <w:szCs w:val="27"/>
        </w:rPr>
        <w:t xml:space="preserve">The patient’s fluctuating bilateral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p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>tosis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,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binocula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e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di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a</w:t>
      </w:r>
      <w:r w:rsidRPr="00A40384">
        <w:rPr>
          <w:rFonts w:ascii="Arial" w:hAnsi="Arial" w:cs="Arial"/>
          <w:color w:val="000B3A"/>
          <w:sz w:val="27"/>
          <w:szCs w:val="27"/>
        </w:rPr>
        <w:t>plopia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, 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fati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q</w:t>
      </w:r>
      <w:r w:rsidRPr="00A40384">
        <w:rPr>
          <w:rFonts w:ascii="Arial" w:hAnsi="Arial" w:cs="Arial"/>
          <w:color w:val="000B3A"/>
          <w:sz w:val="27"/>
          <w:szCs w:val="27"/>
        </w:rPr>
        <w:t>ue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, and an absence of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8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pupilary abnormalities raises the clinical index of suspicion for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9</w:t>
      </w:r>
      <w:r w:rsidRPr="00A40384">
        <w:rPr>
          <w:rFonts w:ascii="Arial" w:hAnsi="Arial" w:cs="Arial"/>
          <w:color w:val="000B3A"/>
          <w:sz w:val="27"/>
          <w:szCs w:val="27"/>
        </w:rPr>
        <w:t>my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e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sthenia gravis (MG). Serologic testing for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10</w:t>
      </w:r>
      <w:r w:rsidRPr="00A40384">
        <w:rPr>
          <w:rFonts w:ascii="Arial" w:hAnsi="Arial" w:cs="Arial"/>
          <w:color w:val="000B3A"/>
          <w:sz w:val="27"/>
          <w:szCs w:val="27"/>
        </w:rPr>
        <w:t>acet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i</w:t>
      </w:r>
      <w:r w:rsidRPr="00A40384">
        <w:rPr>
          <w:rFonts w:ascii="Arial" w:hAnsi="Arial" w:cs="Arial"/>
          <w:color w:val="000B3A"/>
          <w:sz w:val="27"/>
          <w:szCs w:val="27"/>
        </w:rPr>
        <w:t>lcholine receptor (</w:t>
      </w:r>
      <w:proofErr w:type="spellStart"/>
      <w:r w:rsidRPr="00A40384">
        <w:rPr>
          <w:rFonts w:ascii="Arial" w:hAnsi="Arial" w:cs="Arial"/>
          <w:color w:val="000B3A"/>
          <w:sz w:val="27"/>
          <w:szCs w:val="27"/>
        </w:rPr>
        <w:t>AChR</w:t>
      </w:r>
      <w:proofErr w:type="spellEnd"/>
      <w:r w:rsidRPr="00A40384">
        <w:rPr>
          <w:rFonts w:ascii="Arial" w:hAnsi="Arial" w:cs="Arial"/>
          <w:color w:val="000B3A"/>
          <w:sz w:val="27"/>
          <w:szCs w:val="27"/>
        </w:rPr>
        <w:t xml:space="preserve">) antibodies is positive. A computed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11</w:t>
      </w:r>
      <w:r w:rsidRPr="00A40384">
        <w:rPr>
          <w:rFonts w:ascii="Arial" w:hAnsi="Arial" w:cs="Arial"/>
          <w:color w:val="000B3A"/>
          <w:sz w:val="27"/>
          <w:szCs w:val="27"/>
        </w:rPr>
        <w:t>tom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m</w:t>
      </w:r>
      <w:r w:rsidRPr="00A40384">
        <w:rPr>
          <w:rFonts w:ascii="Arial" w:hAnsi="Arial" w:cs="Arial"/>
          <w:color w:val="000B3A"/>
          <w:sz w:val="27"/>
          <w:szCs w:val="27"/>
        </w:rPr>
        <w:t xml:space="preserve">ography (CT) scan of the brain rules out intracranial </w:t>
      </w:r>
      <w:r w:rsidR="00A40384" w:rsidRPr="00A40384">
        <w:rPr>
          <w:rFonts w:ascii="Arial" w:hAnsi="Arial" w:cs="Arial"/>
          <w:color w:val="FF0000"/>
          <w:sz w:val="27"/>
          <w:szCs w:val="27"/>
          <w:vertAlign w:val="superscript"/>
        </w:rPr>
        <w:t>12</w:t>
      </w:r>
      <w:r w:rsidRPr="00A40384">
        <w:rPr>
          <w:rFonts w:ascii="Arial" w:hAnsi="Arial" w:cs="Arial"/>
          <w:color w:val="000B3A"/>
          <w:sz w:val="27"/>
          <w:szCs w:val="27"/>
        </w:rPr>
        <w:t>ne</w:t>
      </w:r>
      <w:r w:rsidR="00AC398D" w:rsidRPr="00A40384">
        <w:rPr>
          <w:rFonts w:ascii="Arial" w:hAnsi="Arial" w:cs="Arial"/>
          <w:color w:val="000B3A"/>
          <w:sz w:val="27"/>
          <w:szCs w:val="27"/>
        </w:rPr>
        <w:t>a</w:t>
      </w:r>
      <w:r w:rsidRPr="00A40384">
        <w:rPr>
          <w:rFonts w:ascii="Arial" w:hAnsi="Arial" w:cs="Arial"/>
          <w:color w:val="000B3A"/>
          <w:sz w:val="27"/>
          <w:szCs w:val="27"/>
        </w:rPr>
        <w:t>plasm.</w:t>
      </w:r>
    </w:p>
    <w:p w:rsidR="00BF0EB4" w:rsidRPr="00A40384" w:rsidRDefault="00AC398D">
      <w:pPr>
        <w:rPr>
          <w:rFonts w:ascii="Arial" w:hAnsi="Arial" w:cs="Arial"/>
          <w:color w:val="FF0000"/>
          <w:sz w:val="27"/>
          <w:szCs w:val="27"/>
        </w:rPr>
      </w:pPr>
      <w:r w:rsidRPr="00A40384">
        <w:rPr>
          <w:rFonts w:ascii="Arial" w:hAnsi="Arial" w:cs="Arial"/>
          <w:color w:val="FF0000"/>
          <w:sz w:val="27"/>
          <w:szCs w:val="27"/>
        </w:rPr>
        <w:t>f</w:t>
      </w:r>
      <w:r w:rsidR="00BF0EB4" w:rsidRPr="00A40384">
        <w:rPr>
          <w:rFonts w:ascii="Arial" w:hAnsi="Arial" w:cs="Arial"/>
          <w:color w:val="FF0000"/>
          <w:sz w:val="27"/>
          <w:szCs w:val="27"/>
        </w:rPr>
        <w:t>atigue</w:t>
      </w:r>
    </w:p>
    <w:p w:rsidR="00BF0EB4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40384">
        <w:rPr>
          <w:rFonts w:ascii="Arial" w:hAnsi="Arial" w:cs="Arial"/>
          <w:color w:val="FF0000"/>
          <w:sz w:val="27"/>
          <w:szCs w:val="27"/>
        </w:rPr>
        <w:t>p</w:t>
      </w:r>
      <w:r w:rsidR="00BF0EB4" w:rsidRPr="00A40384">
        <w:rPr>
          <w:rFonts w:ascii="Arial" w:hAnsi="Arial" w:cs="Arial"/>
          <w:color w:val="FF0000"/>
          <w:sz w:val="27"/>
          <w:szCs w:val="27"/>
        </w:rPr>
        <w:t>tosis</w:t>
      </w:r>
    </w:p>
    <w:p w:rsidR="00BF0EB4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d</w:t>
      </w:r>
      <w:r w:rsidR="00BF0EB4" w:rsidRPr="00AC398D">
        <w:rPr>
          <w:rFonts w:ascii="Arial" w:hAnsi="Arial" w:cs="Arial"/>
          <w:color w:val="FF0000"/>
          <w:sz w:val="27"/>
          <w:szCs w:val="27"/>
        </w:rPr>
        <w:t>iplopia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proofErr w:type="spellStart"/>
      <w:r w:rsidRPr="00AC398D">
        <w:rPr>
          <w:rFonts w:ascii="Arial" w:hAnsi="Arial" w:cs="Arial"/>
          <w:color w:val="FF0000"/>
          <w:sz w:val="27"/>
          <w:szCs w:val="27"/>
        </w:rPr>
        <w:t>binoculae</w:t>
      </w:r>
      <w:proofErr w:type="spellEnd"/>
    </w:p>
    <w:p w:rsidR="00BF0EB4" w:rsidRPr="00AC398D" w:rsidRDefault="00BF0EB4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ocular</w:t>
      </w:r>
    </w:p>
    <w:p w:rsidR="00BF0EB4" w:rsidRPr="00AC398D" w:rsidRDefault="00BF0EB4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dysarthria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medial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pupillary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myasthenia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acetylcholine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tomography</w:t>
      </w:r>
    </w:p>
    <w:p w:rsidR="00AC398D" w:rsidRPr="00AC398D" w:rsidRDefault="00AC398D">
      <w:pPr>
        <w:rPr>
          <w:rFonts w:ascii="Arial" w:hAnsi="Arial" w:cs="Arial"/>
          <w:color w:val="FF0000"/>
          <w:sz w:val="27"/>
          <w:szCs w:val="27"/>
        </w:rPr>
      </w:pPr>
      <w:r w:rsidRPr="00AC398D">
        <w:rPr>
          <w:rFonts w:ascii="Arial" w:hAnsi="Arial" w:cs="Arial"/>
          <w:color w:val="FF0000"/>
          <w:sz w:val="27"/>
          <w:szCs w:val="27"/>
        </w:rPr>
        <w:t>neoplasm</w:t>
      </w:r>
    </w:p>
    <w:p w:rsidR="00A40384" w:rsidRPr="00B36606" w:rsidRDefault="00A40384" w:rsidP="00A4038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 xml:space="preserve">VIRTUAL Medical </w:t>
      </w:r>
      <w:r>
        <w:rPr>
          <w:rFonts w:ascii="Arial" w:eastAsia="Arial" w:hAnsi="Arial" w:cs="Arial"/>
          <w:b/>
          <w:bCs/>
          <w:color w:val="000000"/>
        </w:rPr>
        <w:t>Spelling</w:t>
      </w:r>
      <w:r w:rsidRPr="00B36606">
        <w:rPr>
          <w:rFonts w:ascii="Arial" w:eastAsia="Arial" w:hAnsi="Arial" w:cs="Arial"/>
          <w:b/>
          <w:bCs/>
          <w:color w:val="000000"/>
        </w:rPr>
        <w:t xml:space="preserve"> – Judge’s Rating Sheet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tbl>
      <w:tblPr>
        <w:tblW w:w="9990" w:type="dxa"/>
        <w:tblInd w:w="206" w:type="dxa"/>
        <w:tblLayout w:type="fixed"/>
        <w:tblCellMar>
          <w:left w:w="206" w:type="dxa"/>
          <w:right w:w="206" w:type="dxa"/>
        </w:tblCellMar>
        <w:tblLook w:val="0000" w:firstRow="0" w:lastRow="0" w:firstColumn="0" w:lastColumn="0" w:noHBand="0" w:noVBand="0"/>
      </w:tblPr>
      <w:tblGrid>
        <w:gridCol w:w="7560"/>
        <w:gridCol w:w="1260"/>
        <w:gridCol w:w="1170"/>
      </w:tblGrid>
      <w:tr w:rsidR="00A40384" w:rsidRPr="00923F29" w:rsidTr="0014749A">
        <w:tc>
          <w:tcPr>
            <w:tcW w:w="7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pct10" w:color="auto" w:fill="auto"/>
          </w:tcPr>
          <w:p w:rsidR="00A40384" w:rsidRPr="00923F29" w:rsidRDefault="00A40384" w:rsidP="0014749A">
            <w:pPr>
              <w:tabs>
                <w:tab w:val="center" w:pos="654"/>
              </w:tabs>
              <w:suppressAutoHyphens/>
              <w:spacing w:before="120" w:after="120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 xml:space="preserve">Medical </w:t>
            </w:r>
            <w:r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Spelling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pct10" w:color="auto" w:fill="auto"/>
          </w:tcPr>
          <w:p w:rsidR="00A40384" w:rsidRPr="00923F29" w:rsidRDefault="00A40384" w:rsidP="0014749A">
            <w:pPr>
              <w:suppressAutoHyphens/>
              <w:spacing w:before="120" w:after="120"/>
              <w:ind w:left="-116"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</w:pPr>
            <w:r w:rsidRPr="00923F29"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  <w:t xml:space="preserve"> Possible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:rsidR="00A40384" w:rsidRPr="00923F29" w:rsidRDefault="00A40384" w:rsidP="0014749A">
            <w:pPr>
              <w:suppressAutoHyphens/>
              <w:spacing w:before="120" w:after="120"/>
              <w:ind w:left="-116" w:right="-116"/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</w:pPr>
            <w:r w:rsidRPr="00923F29">
              <w:rPr>
                <w:rFonts w:ascii="Arial" w:hAnsi="Arial" w:cs="Arial"/>
                <w:b/>
                <w:color w:val="000000" w:themeColor="text1"/>
                <w:spacing w:val="-3"/>
                <w:sz w:val="22"/>
              </w:rPr>
              <w:t>Awarded</w:t>
            </w:r>
          </w:p>
        </w:tc>
      </w:tr>
      <w:tr w:rsidR="00A40384" w:rsidRPr="00923F29" w:rsidTr="0014749A">
        <w:tc>
          <w:tcPr>
            <w:tcW w:w="7560" w:type="dxa"/>
            <w:tcBorders>
              <w:left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FF0000"/>
                <w:sz w:val="27"/>
                <w:szCs w:val="27"/>
              </w:rPr>
            </w:pPr>
            <w:r w:rsidRPr="00E0076C">
              <w:rPr>
                <w:rFonts w:ascii="Arial" w:hAnsi="Arial" w:cs="Arial"/>
                <w:bCs/>
                <w:color w:val="000000" w:themeColor="text1"/>
              </w:rPr>
              <w:t>1</w:t>
            </w: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.      </w:t>
            </w:r>
            <w:r w:rsidRPr="00A40384">
              <w:rPr>
                <w:rFonts w:ascii="Arial" w:hAnsi="Arial" w:cs="Arial"/>
                <w:color w:val="000000" w:themeColor="text1"/>
              </w:rPr>
              <w:t xml:space="preserve">fatigue  </w:t>
            </w:r>
          </w:p>
        </w:tc>
        <w:tc>
          <w:tcPr>
            <w:tcW w:w="1260" w:type="dxa"/>
            <w:tcBorders>
              <w:left w:val="single" w:sz="6" w:space="0" w:color="auto"/>
            </w:tcBorders>
          </w:tcPr>
          <w:p w:rsidR="00A40384" w:rsidRPr="00923F29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3</w:t>
            </w:r>
            <w:r w:rsidRPr="00923F29">
              <w:rPr>
                <w:rFonts w:ascii="Arial" w:hAnsi="Arial" w:cs="Arial"/>
                <w:color w:val="000000" w:themeColor="text1"/>
                <w:sz w:val="20"/>
              </w:rPr>
              <w:t xml:space="preserve">           0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ind w:right="-206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FF0000"/>
                <w:sz w:val="27"/>
                <w:szCs w:val="27"/>
              </w:rPr>
            </w:pPr>
            <w:r w:rsidRPr="00E0076C">
              <w:rPr>
                <w:rFonts w:ascii="Arial" w:hAnsi="Arial" w:cs="Arial"/>
                <w:bCs/>
                <w:color w:val="000000" w:themeColor="text1"/>
              </w:rPr>
              <w:t xml:space="preserve">2.     </w:t>
            </w: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A40384">
              <w:rPr>
                <w:rFonts w:ascii="Arial" w:hAnsi="Arial" w:cs="Arial"/>
                <w:color w:val="000000" w:themeColor="text1"/>
              </w:rPr>
              <w:t>ptosis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3.      </w:t>
            </w:r>
            <w:r w:rsidRPr="00A40384">
              <w:rPr>
                <w:rFonts w:ascii="Arial" w:hAnsi="Arial" w:cs="Arial"/>
                <w:color w:val="000000" w:themeColor="text1"/>
              </w:rPr>
              <w:t>diplopia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A40384" w:rsidRPr="00923F29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3  </w:t>
            </w:r>
            <w:r w:rsidRPr="00923F29">
              <w:rPr>
                <w:rFonts w:ascii="Arial" w:hAnsi="Arial" w:cs="Arial"/>
                <w:color w:val="000000" w:themeColor="text1"/>
                <w:sz w:val="20"/>
              </w:rPr>
              <w:t xml:space="preserve">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4.      </w:t>
            </w:r>
            <w:proofErr w:type="spellStart"/>
            <w:r w:rsidRPr="00A40384">
              <w:rPr>
                <w:rFonts w:ascii="Arial" w:hAnsi="Arial" w:cs="Arial"/>
                <w:color w:val="000000" w:themeColor="text1"/>
              </w:rPr>
              <w:t>binoculae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color w:val="000000" w:themeColor="text1"/>
                <w:spacing w:val="-3"/>
              </w:rPr>
              <w:t xml:space="preserve">5.       </w:t>
            </w:r>
            <w:r w:rsidRPr="00A40384">
              <w:rPr>
                <w:rFonts w:ascii="Arial" w:hAnsi="Arial" w:cs="Arial"/>
                <w:color w:val="000000" w:themeColor="text1"/>
              </w:rPr>
              <w:t>ocular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923F29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6.      </w:t>
            </w:r>
            <w:r w:rsidRPr="00A40384">
              <w:rPr>
                <w:rFonts w:ascii="Arial" w:hAnsi="Arial" w:cs="Arial"/>
                <w:color w:val="000000" w:themeColor="text1"/>
              </w:rPr>
              <w:t>dysarthria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3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14749A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7.     </w:t>
            </w:r>
            <w:r w:rsidRPr="00A40384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A40384">
              <w:rPr>
                <w:rFonts w:ascii="Arial" w:hAnsi="Arial" w:cs="Arial"/>
                <w:color w:val="000000" w:themeColor="text1"/>
              </w:rPr>
              <w:t>medial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923F29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3 </w:t>
            </w:r>
            <w:r w:rsidRPr="00923F29"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8.      </w:t>
            </w:r>
            <w:r w:rsidRPr="00A40384">
              <w:rPr>
                <w:rFonts w:ascii="Arial" w:hAnsi="Arial" w:cs="Arial"/>
                <w:color w:val="000000" w:themeColor="text1"/>
              </w:rPr>
              <w:t>pupillary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9.      </w:t>
            </w:r>
            <w:r w:rsidRPr="00A40384">
              <w:rPr>
                <w:rFonts w:ascii="Arial" w:hAnsi="Arial" w:cs="Arial"/>
                <w:color w:val="000000" w:themeColor="text1"/>
              </w:rPr>
              <w:t>myasthenia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5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10.   </w:t>
            </w: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A40384">
              <w:rPr>
                <w:rFonts w:ascii="Arial" w:hAnsi="Arial" w:cs="Arial"/>
                <w:color w:val="000000" w:themeColor="text1"/>
              </w:rPr>
              <w:t>acetylcholine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 xml:space="preserve">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11.    </w:t>
            </w:r>
            <w:r w:rsidRPr="00A40384">
              <w:rPr>
                <w:rFonts w:ascii="Arial" w:hAnsi="Arial" w:cs="Arial"/>
                <w:color w:val="000000" w:themeColor="text1"/>
              </w:rPr>
              <w:t>tomography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3            0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Pr="00A40384" w:rsidRDefault="00A40384" w:rsidP="00A40384">
            <w:pPr>
              <w:rPr>
                <w:rFonts w:ascii="Arial" w:hAnsi="Arial" w:cs="Arial"/>
                <w:color w:val="000000" w:themeColor="text1"/>
              </w:rPr>
            </w:pPr>
            <w:r w:rsidRPr="00A40384">
              <w:rPr>
                <w:rFonts w:ascii="Arial" w:hAnsi="Arial" w:cs="Arial"/>
                <w:bCs/>
                <w:color w:val="000000" w:themeColor="text1"/>
              </w:rPr>
              <w:t xml:space="preserve">12.    </w:t>
            </w:r>
            <w:r w:rsidRPr="00A40384">
              <w:rPr>
                <w:rFonts w:ascii="Arial" w:hAnsi="Arial" w:cs="Arial"/>
                <w:color w:val="000000" w:themeColor="text1"/>
              </w:rPr>
              <w:t>neoplasm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0384" w:rsidRDefault="00A40384" w:rsidP="0014749A">
            <w:pPr>
              <w:tabs>
                <w:tab w:val="center" w:pos="654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0"/>
              </w:rPr>
              <w:t>3            0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384" w:rsidRPr="00923F29" w:rsidRDefault="00A40384" w:rsidP="0014749A">
            <w:pPr>
              <w:tabs>
                <w:tab w:val="left" w:pos="-720"/>
              </w:tabs>
              <w:suppressAutoHyphens/>
              <w:spacing w:before="60" w:after="60"/>
              <w:rPr>
                <w:rFonts w:ascii="Arial" w:hAnsi="Arial" w:cs="Arial"/>
                <w:color w:val="000000" w:themeColor="text1"/>
                <w:spacing w:val="-3"/>
                <w:sz w:val="20"/>
              </w:rPr>
            </w:pPr>
          </w:p>
        </w:tc>
      </w:tr>
      <w:tr w:rsidR="00A40384" w:rsidRPr="00923F29" w:rsidTr="0014749A"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0384" w:rsidRPr="00536E44" w:rsidRDefault="00A40384" w:rsidP="0014749A">
            <w:pPr>
              <w:tabs>
                <w:tab w:val="left" w:pos="-720"/>
              </w:tabs>
              <w:suppressAutoHyphens/>
              <w:spacing w:before="123" w:after="169"/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</w:pPr>
            <w:r w:rsidRPr="00B67894"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TOTAL POINTS </w:t>
            </w:r>
            <w:r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</w:rPr>
              <w:t xml:space="preserve">–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0384" w:rsidRPr="00B67894" w:rsidRDefault="00A40384" w:rsidP="0014749A">
            <w:pPr>
              <w:tabs>
                <w:tab w:val="left" w:pos="-720"/>
              </w:tabs>
              <w:suppressAutoHyphens/>
              <w:spacing w:before="123" w:after="169"/>
              <w:rPr>
                <w:rFonts w:ascii="Arial" w:hAnsi="Arial" w:cs="Arial"/>
                <w:b/>
                <w:color w:val="000000" w:themeColor="text1"/>
                <w:spacing w:val="-2"/>
              </w:rPr>
            </w:pPr>
            <w:r w:rsidRPr="00B67894">
              <w:rPr>
                <w:rFonts w:ascii="Arial" w:hAnsi="Arial" w:cs="Arial"/>
                <w:b/>
                <w:color w:val="000000" w:themeColor="text1"/>
                <w:spacing w:val="-2"/>
              </w:rPr>
              <w:t xml:space="preserve">   </w:t>
            </w:r>
            <w:r>
              <w:rPr>
                <w:rFonts w:ascii="Arial" w:hAnsi="Arial" w:cs="Arial"/>
                <w:b/>
                <w:color w:val="000000" w:themeColor="text1"/>
                <w:spacing w:val="-2"/>
              </w:rPr>
              <w:t>44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384" w:rsidRPr="00B67894" w:rsidRDefault="00A40384" w:rsidP="0014749A">
            <w:pPr>
              <w:tabs>
                <w:tab w:val="left" w:pos="-720"/>
              </w:tabs>
              <w:suppressAutoHyphens/>
              <w:spacing w:before="123" w:after="169"/>
              <w:rPr>
                <w:rFonts w:ascii="Arial" w:hAnsi="Arial" w:cs="Arial"/>
                <w:color w:val="000000" w:themeColor="text1"/>
                <w:spacing w:val="-2"/>
                <w:sz w:val="22"/>
              </w:rPr>
            </w:pPr>
          </w:p>
        </w:tc>
      </w:tr>
    </w:tbl>
    <w:p w:rsidR="00AC398D" w:rsidRDefault="00AC398D"/>
    <w:sectPr w:rsidR="00AC398D" w:rsidSect="00315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D6"/>
    <w:rsid w:val="000A79E6"/>
    <w:rsid w:val="00315506"/>
    <w:rsid w:val="00A40384"/>
    <w:rsid w:val="00AC398D"/>
    <w:rsid w:val="00B4102F"/>
    <w:rsid w:val="00BF0EB4"/>
    <w:rsid w:val="00D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F77A4"/>
  <w15:chartTrackingRefBased/>
  <w15:docId w15:val="{8A7A578F-C821-0643-9AB1-C7E9622D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46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34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5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linicaladvisor.com/home/topics/infectious-diseases-information-center/influenza-information-center/covid-19-vs-influenza-in-child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2020-12-30T00:07:00Z</dcterms:created>
  <dcterms:modified xsi:type="dcterms:W3CDTF">2020-12-30T00:07:00Z</dcterms:modified>
</cp:coreProperties>
</file>